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B4A" w:rsidRPr="009F4EEE" w:rsidRDefault="00681871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EA1114">
        <w:rPr>
          <w:rFonts w:eastAsia="SimSun"/>
          <w:bCs w:val="0"/>
          <w:sz w:val="24"/>
          <w:lang w:eastAsia="zh-CN"/>
        </w:rPr>
        <w:t>5</w:t>
      </w:r>
      <w:r w:rsidRPr="00681871">
        <w:rPr>
          <w:rFonts w:eastAsia="SimSun"/>
          <w:bCs w:val="0"/>
          <w:sz w:val="24"/>
          <w:lang w:eastAsia="zh-CN"/>
        </w:rPr>
        <w:t>-e</w:t>
      </w:r>
      <w:r w:rsidR="00EA1114">
        <w:rPr>
          <w:rFonts w:eastAsia="SimSun"/>
          <w:bCs w:val="0"/>
          <w:sz w:val="24"/>
          <w:lang w:eastAsia="zh-CN"/>
        </w:rPr>
        <w:tab/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>
        <w:rPr>
          <w:rFonts w:eastAsia="SimSun"/>
          <w:bCs w:val="0"/>
          <w:sz w:val="24"/>
          <w:lang w:eastAsia="zh-CN"/>
        </w:rPr>
        <w:t>R4-200</w:t>
      </w:r>
      <w:r w:rsidR="002B02BE">
        <w:rPr>
          <w:rFonts w:eastAsia="SimSun"/>
          <w:bCs w:val="0"/>
          <w:sz w:val="24"/>
          <w:lang w:eastAsia="zh-CN"/>
        </w:rPr>
        <w:t>8135</w:t>
      </w:r>
    </w:p>
    <w:p w:rsidR="00524F35" w:rsidRPr="00CA6411" w:rsidRDefault="00681871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 w:rsidRPr="00681871">
        <w:rPr>
          <w:rFonts w:cs="Arial"/>
          <w:sz w:val="24"/>
          <w:szCs w:val="24"/>
          <w:lang w:val="en-US"/>
        </w:rPr>
        <w:t>Electronic Meeting, 2</w:t>
      </w:r>
      <w:r w:rsidR="00EA1114">
        <w:rPr>
          <w:rFonts w:cs="Arial"/>
          <w:sz w:val="24"/>
          <w:szCs w:val="24"/>
          <w:lang w:val="en-US"/>
        </w:rPr>
        <w:t>5 May</w:t>
      </w:r>
      <w:r w:rsidRPr="00681871">
        <w:rPr>
          <w:rFonts w:cs="Arial"/>
          <w:sz w:val="24"/>
          <w:szCs w:val="24"/>
          <w:lang w:val="en-US"/>
        </w:rPr>
        <w:t xml:space="preserve"> – </w:t>
      </w:r>
      <w:r w:rsidR="00EA1114">
        <w:rPr>
          <w:rFonts w:cs="Arial"/>
          <w:sz w:val="24"/>
          <w:szCs w:val="24"/>
          <w:lang w:val="en-US"/>
        </w:rPr>
        <w:t>6</w:t>
      </w:r>
      <w:r w:rsidRPr="00681871">
        <w:rPr>
          <w:rFonts w:cs="Arial"/>
          <w:sz w:val="24"/>
          <w:szCs w:val="24"/>
          <w:lang w:val="en-US"/>
        </w:rPr>
        <w:t xml:space="preserve"> </w:t>
      </w:r>
      <w:r w:rsidR="00EA1114">
        <w:rPr>
          <w:rFonts w:cs="Arial"/>
          <w:sz w:val="24"/>
          <w:szCs w:val="24"/>
          <w:lang w:val="en-US"/>
        </w:rPr>
        <w:t>June</w:t>
      </w:r>
      <w:r w:rsidRPr="00681871">
        <w:rPr>
          <w:rFonts w:cs="Arial"/>
          <w:sz w:val="24"/>
          <w:szCs w:val="24"/>
          <w:lang w:val="en-US"/>
        </w:rPr>
        <w:t>, 2020</w:t>
      </w:r>
      <w:bookmarkEnd w:id="2"/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</w:rPr>
      </w:pPr>
    </w:p>
    <w:p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lang w:eastAsia="zh-CN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DB2FCE" w:rsidRPr="002F1914">
        <w:rPr>
          <w:rFonts w:ascii="Arial" w:hAnsi="Arial" w:cs="Arial"/>
        </w:rPr>
        <w:t>Skyworks Solutions, Inc.</w:t>
      </w:r>
    </w:p>
    <w:p w:rsidR="005929A6" w:rsidRPr="002F1914" w:rsidRDefault="005929A6" w:rsidP="00987DF6">
      <w:pPr>
        <w:ind w:left="1985" w:hanging="1985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9160DE">
        <w:rPr>
          <w:rFonts w:ascii="Arial" w:eastAsia="SimSun" w:hAnsi="Arial" w:cs="Arial"/>
          <w:lang w:eastAsia="zh-CN"/>
        </w:rPr>
        <w:t xml:space="preserve">DC_12_n71 </w:t>
      </w:r>
      <w:r w:rsidR="000810CC">
        <w:rPr>
          <w:rFonts w:ascii="Arial" w:eastAsia="SimSun" w:hAnsi="Arial" w:cs="Arial"/>
          <w:lang w:eastAsia="zh-CN"/>
        </w:rPr>
        <w:t>Single Uplink Operation</w:t>
      </w:r>
    </w:p>
    <w:p w:rsidR="004124E7" w:rsidRPr="002F1914" w:rsidRDefault="005929A6" w:rsidP="008C5126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B45D07" w:rsidRPr="00B45D07">
        <w:rPr>
          <w:rFonts w:ascii="Arial" w:hAnsi="Arial" w:cs="Arial"/>
        </w:rPr>
        <w:t>8.3</w:t>
      </w:r>
      <w:r w:rsidR="008C5126">
        <w:rPr>
          <w:rFonts w:ascii="Arial" w:hAnsi="Arial" w:cs="Arial"/>
        </w:rPr>
        <w:t xml:space="preserve"> </w:t>
      </w:r>
      <w:r w:rsidR="00B45D07" w:rsidRPr="00B45D07">
        <w:rPr>
          <w:rFonts w:ascii="Arial" w:hAnsi="Arial" w:cs="Arial"/>
        </w:rPr>
        <w:t>EN-DC of 1 LTE band and 1 NR band</w:t>
      </w:r>
      <w:r w:rsidR="00C50A11">
        <w:rPr>
          <w:rFonts w:ascii="Arial" w:hAnsi="Arial" w:cs="Arial"/>
        </w:rPr>
        <w:t xml:space="preserve"> </w:t>
      </w:r>
    </w:p>
    <w:p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7241C8">
        <w:rPr>
          <w:rFonts w:ascii="Arial" w:eastAsia="SimSun" w:hAnsi="Arial" w:cs="Arial"/>
          <w:lang w:eastAsia="zh-CN"/>
        </w:rPr>
        <w:t>Approval</w:t>
      </w:r>
      <w:bookmarkStart w:id="3" w:name="_GoBack"/>
      <w:bookmarkEnd w:id="3"/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1A570A" w:rsidRDefault="00A03E82" w:rsidP="002B0DC4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DC_12_n71 has been initially proposed </w:t>
      </w:r>
      <w:r w:rsidR="00290F72">
        <w:rPr>
          <w:rFonts w:eastAsia="SimSun"/>
          <w:sz w:val="22"/>
          <w:lang w:eastAsia="zh-CN"/>
        </w:rPr>
        <w:t xml:space="preserve">with mandatory </w:t>
      </w:r>
      <w:r>
        <w:rPr>
          <w:rFonts w:eastAsia="SimSun"/>
          <w:sz w:val="22"/>
          <w:lang w:eastAsia="zh-CN"/>
        </w:rPr>
        <w:t>Single Switched Uplink</w:t>
      </w:r>
      <w:r w:rsidR="00290F72">
        <w:rPr>
          <w:rFonts w:eastAsia="SimSun"/>
          <w:sz w:val="22"/>
          <w:lang w:eastAsia="zh-CN"/>
        </w:rPr>
        <w:t xml:space="preserve">, or mandatory Single Uplink Operation (SUO) operation </w:t>
      </w:r>
      <w:r w:rsidR="00C47682">
        <w:rPr>
          <w:rFonts w:eastAsia="SimSun"/>
          <w:sz w:val="22"/>
          <w:lang w:eastAsia="zh-CN"/>
        </w:rPr>
        <w:t>[</w:t>
      </w:r>
      <w:r w:rsidR="00290F72">
        <w:rPr>
          <w:rFonts w:eastAsia="SimSun"/>
          <w:sz w:val="22"/>
          <w:lang w:eastAsia="zh-CN"/>
        </w:rPr>
        <w:t>1</w:t>
      </w:r>
      <w:r w:rsidR="00C47682">
        <w:rPr>
          <w:rFonts w:eastAsia="SimSun"/>
          <w:sz w:val="22"/>
          <w:lang w:eastAsia="zh-CN"/>
        </w:rPr>
        <w:t xml:space="preserve">] accompanied by a note specifying that this combination </w:t>
      </w:r>
      <w:r w:rsidR="00C47682" w:rsidRPr="00C47682">
        <w:rPr>
          <w:rFonts w:eastAsia="SimSun"/>
          <w:sz w:val="22"/>
          <w:lang w:eastAsia="zh-CN"/>
        </w:rPr>
        <w:t>is applicable only for non-form-factor constrained device use cases</w:t>
      </w:r>
      <w:r w:rsidR="00290F72">
        <w:rPr>
          <w:rFonts w:eastAsia="SimSun"/>
          <w:sz w:val="22"/>
          <w:lang w:eastAsia="zh-CN"/>
        </w:rPr>
        <w:t>.</w:t>
      </w:r>
      <w:r>
        <w:rPr>
          <w:rFonts w:eastAsia="SimSun"/>
          <w:sz w:val="22"/>
          <w:lang w:eastAsia="zh-CN"/>
        </w:rPr>
        <w:t xml:space="preserve"> </w:t>
      </w:r>
      <w:r w:rsidR="00FF7D39">
        <w:rPr>
          <w:rFonts w:eastAsia="SimSun"/>
          <w:sz w:val="22"/>
          <w:lang w:eastAsia="zh-CN"/>
        </w:rPr>
        <w:t>T</w:t>
      </w:r>
      <w:r w:rsidR="00290F72">
        <w:rPr>
          <w:rFonts w:eastAsia="SimSun"/>
          <w:sz w:val="22"/>
          <w:lang w:eastAsia="zh-CN"/>
        </w:rPr>
        <w:t>his document briefly explain</w:t>
      </w:r>
      <w:r w:rsidR="00FF7D39">
        <w:rPr>
          <w:rFonts w:eastAsia="SimSun"/>
          <w:sz w:val="22"/>
          <w:lang w:eastAsia="zh-CN"/>
        </w:rPr>
        <w:t>s</w:t>
      </w:r>
      <w:r w:rsidR="00290F72">
        <w:rPr>
          <w:rFonts w:eastAsia="SimSun"/>
          <w:sz w:val="22"/>
          <w:lang w:eastAsia="zh-CN"/>
        </w:rPr>
        <w:t xml:space="preserve"> why SUO mandatory should </w:t>
      </w:r>
      <w:r w:rsidR="00022DD4">
        <w:rPr>
          <w:rFonts w:eastAsia="SimSun"/>
          <w:sz w:val="22"/>
          <w:lang w:eastAsia="zh-CN"/>
        </w:rPr>
        <w:t>remain</w:t>
      </w:r>
      <w:r w:rsidR="00290F72">
        <w:rPr>
          <w:rFonts w:eastAsia="SimSun"/>
          <w:sz w:val="22"/>
          <w:lang w:eastAsia="zh-CN"/>
        </w:rPr>
        <w:t xml:space="preserve"> </w:t>
      </w:r>
      <w:r w:rsidR="00C47682">
        <w:rPr>
          <w:rFonts w:eastAsia="SimSun"/>
          <w:sz w:val="22"/>
          <w:lang w:eastAsia="zh-CN"/>
        </w:rPr>
        <w:t>the only supported mode of operation.</w:t>
      </w:r>
    </w:p>
    <w:p w:rsidR="002B0DC4" w:rsidRPr="002B0DC4" w:rsidRDefault="00FE5462" w:rsidP="002B0DC4">
      <w:pPr>
        <w:pStyle w:val="Heading1"/>
      </w:pPr>
      <w:r w:rsidRPr="00FE5462">
        <w:t>Discussion</w:t>
      </w:r>
    </w:p>
    <w:p w:rsidR="002F1914" w:rsidRDefault="00FE5462" w:rsidP="002F1914">
      <w:pPr>
        <w:pStyle w:val="Heading2"/>
        <w:spacing w:after="240"/>
        <w:jc w:val="both"/>
      </w:pPr>
      <w:r>
        <w:t>DC_12_n71 IMD Landscape</w:t>
      </w:r>
    </w:p>
    <w:p w:rsidR="003D1D89" w:rsidRDefault="001D4065" w:rsidP="000B655A">
      <w:pPr>
        <w:contextualSpacing/>
        <w:jc w:val="both"/>
        <w:rPr>
          <w:sz w:val="22"/>
          <w:szCs w:val="20"/>
        </w:rPr>
      </w:pPr>
      <w:r w:rsidRPr="006A7175">
        <w:rPr>
          <w:sz w:val="20"/>
        </w:rPr>
        <w:fldChar w:fldCharType="begin"/>
      </w:r>
      <w:r w:rsidRPr="006A7175">
        <w:rPr>
          <w:sz w:val="20"/>
        </w:rPr>
        <w:instrText xml:space="preserve"> REF _Ref40197172 \h </w:instrText>
      </w:r>
      <w:r w:rsidR="006A7175">
        <w:rPr>
          <w:sz w:val="20"/>
        </w:rPr>
        <w:instrText xml:space="preserve"> \* MERGEFORMAT </w:instrText>
      </w:r>
      <w:r w:rsidRPr="006A7175">
        <w:rPr>
          <w:sz w:val="20"/>
        </w:rPr>
      </w:r>
      <w:r w:rsidRPr="006A7175">
        <w:rPr>
          <w:sz w:val="20"/>
        </w:rPr>
        <w:fldChar w:fldCharType="separate"/>
      </w:r>
      <w:r w:rsidRPr="006A7175">
        <w:rPr>
          <w:sz w:val="22"/>
        </w:rPr>
        <w:t xml:space="preserve">Figure </w:t>
      </w:r>
      <w:r w:rsidRPr="006A7175">
        <w:rPr>
          <w:noProof/>
          <w:sz w:val="22"/>
        </w:rPr>
        <w:t>1</w:t>
      </w:r>
      <w:r w:rsidRPr="006A7175">
        <w:rPr>
          <w:sz w:val="20"/>
        </w:rPr>
        <w:fldChar w:fldCharType="end"/>
      </w:r>
      <w:r w:rsidRPr="006A7175">
        <w:rPr>
          <w:sz w:val="20"/>
        </w:rPr>
        <w:t xml:space="preserve"> </w:t>
      </w:r>
      <w:r>
        <w:rPr>
          <w:sz w:val="22"/>
        </w:rPr>
        <w:t xml:space="preserve">below illustrates a possible </w:t>
      </w:r>
      <w:r w:rsidR="006A7175">
        <w:rPr>
          <w:sz w:val="22"/>
        </w:rPr>
        <w:t>third order intermodulation distortion (IMD3)</w:t>
      </w:r>
      <w:r>
        <w:rPr>
          <w:sz w:val="22"/>
        </w:rPr>
        <w:t xml:space="preserve"> landscape for the example of 5MHz Channel Bandwidth (CBW) due to simultaneous dual uplink transmissions (Tx) in band 71</w:t>
      </w:r>
      <w:r w:rsidR="00C47682">
        <w:rPr>
          <w:sz w:val="22"/>
        </w:rPr>
        <w:t xml:space="preserve"> (B71)</w:t>
      </w:r>
      <w:r>
        <w:rPr>
          <w:sz w:val="22"/>
        </w:rPr>
        <w:t xml:space="preserve"> and in band 12</w:t>
      </w:r>
      <w:r w:rsidR="00C47682">
        <w:rPr>
          <w:sz w:val="22"/>
        </w:rPr>
        <w:t xml:space="preserve"> (B12)</w:t>
      </w:r>
      <w:r>
        <w:rPr>
          <w:sz w:val="22"/>
        </w:rPr>
        <w:t>. The IMD3 product may either fall in the receiving (Rx) band 71 (</w:t>
      </w:r>
      <w:r>
        <w:rPr>
          <w:sz w:val="22"/>
        </w:rPr>
        <w:fldChar w:fldCharType="begin"/>
      </w:r>
      <w:r>
        <w:rPr>
          <w:sz w:val="22"/>
        </w:rPr>
        <w:instrText xml:space="preserve"> REF _Ref40197172 \h </w:instrText>
      </w:r>
      <w:r>
        <w:rPr>
          <w:sz w:val="22"/>
        </w:rPr>
      </w:r>
      <w:r>
        <w:rPr>
          <w:sz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</w:rPr>
        <w:fldChar w:fldCharType="end"/>
      </w:r>
      <w:r>
        <w:rPr>
          <w:sz w:val="22"/>
        </w:rPr>
        <w:t>-left) or in the receiving band 12</w:t>
      </w:r>
      <w:r w:rsidR="002F1914" w:rsidRPr="00214973">
        <w:rPr>
          <w:sz w:val="22"/>
        </w:rPr>
        <w:t xml:space="preserve"> </w:t>
      </w:r>
      <w:r>
        <w:rPr>
          <w:sz w:val="22"/>
        </w:rPr>
        <w:t xml:space="preserve">depending on channel allocations. </w:t>
      </w:r>
      <w:r w:rsidR="000B655A">
        <w:rPr>
          <w:sz w:val="22"/>
        </w:rPr>
        <w:t xml:space="preserve">Therefore, this combination is eligible to optionally request SUO. </w:t>
      </w:r>
    </w:p>
    <w:p w:rsidR="003D1D89" w:rsidRDefault="003D1D89" w:rsidP="003D1D89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sz w:val="22"/>
          <w:szCs w:val="20"/>
        </w:rPr>
      </w:pPr>
    </w:p>
    <w:p w:rsidR="003D1D89" w:rsidRPr="003D1D89" w:rsidRDefault="003D1D89" w:rsidP="003D1D89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sz w:val="22"/>
          <w:szCs w:val="20"/>
        </w:rPr>
      </w:pPr>
      <w:r w:rsidRPr="003D1D89">
        <w:rPr>
          <w:noProof/>
        </w:rPr>
        <w:drawing>
          <wp:inline distT="0" distB="0" distL="0" distR="0">
            <wp:extent cx="3020400" cy="2246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4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4065" w:rsidRPr="001D4065">
        <w:rPr>
          <w:sz w:val="22"/>
          <w:szCs w:val="20"/>
        </w:rPr>
        <w:t xml:space="preserve"> </w:t>
      </w:r>
      <w:r w:rsidR="001D4065" w:rsidRPr="001D4065">
        <w:rPr>
          <w:noProof/>
        </w:rPr>
        <w:drawing>
          <wp:inline distT="0" distB="0" distL="0" distR="0">
            <wp:extent cx="3020400" cy="2246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4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065" w:rsidRDefault="001D4065" w:rsidP="001D4065">
      <w:pPr>
        <w:pStyle w:val="Caption"/>
      </w:pPr>
      <w:bookmarkStart w:id="4" w:name="_Ref401971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Example of 5MHz CBW IMD3 landscape due to dual uplink DC_12_n71 transmissions. Left: IMD3 falling in band 71, Right: IMD3 falling in band 12.</w:t>
      </w:r>
    </w:p>
    <w:p w:rsidR="00F46470" w:rsidRDefault="00F46470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F46470" w:rsidRDefault="00F46470" w:rsidP="00F46470">
      <w:pPr>
        <w:pStyle w:val="Heading2"/>
        <w:spacing w:after="240"/>
        <w:jc w:val="both"/>
      </w:pPr>
      <w:r>
        <w:t>Single Switched Uplink Mandatory</w:t>
      </w:r>
    </w:p>
    <w:p w:rsidR="000B655A" w:rsidRDefault="000B655A" w:rsidP="000B655A">
      <w:pPr>
        <w:contextualSpacing/>
        <w:jc w:val="both"/>
        <w:rPr>
          <w:sz w:val="22"/>
        </w:rPr>
      </w:pPr>
      <w:r>
        <w:rPr>
          <w:sz w:val="22"/>
        </w:rPr>
        <w:t xml:space="preserve">Considering there is only a 1MHz gap separating UL B71 </w:t>
      </w:r>
      <w:r w:rsidR="00203E2F">
        <w:rPr>
          <w:sz w:val="22"/>
        </w:rPr>
        <w:t>from</w:t>
      </w:r>
      <w:r>
        <w:rPr>
          <w:sz w:val="22"/>
        </w:rPr>
        <w:t xml:space="preserve"> UL B12, </w:t>
      </w:r>
      <w:proofErr w:type="spellStart"/>
      <w:r w:rsidR="00C47682">
        <w:rPr>
          <w:sz w:val="22"/>
        </w:rPr>
        <w:t>quadplexing</w:t>
      </w:r>
      <w:proofErr w:type="spellEnd"/>
      <w:r w:rsidR="00C47682">
        <w:rPr>
          <w:sz w:val="22"/>
        </w:rPr>
        <w:t xml:space="preserve"> is not an option. Even if both B71 and B12 transmitting bands </w:t>
      </w:r>
      <w:r w:rsidR="00203E2F">
        <w:rPr>
          <w:sz w:val="22"/>
        </w:rPr>
        <w:t>we</w:t>
      </w:r>
      <w:r w:rsidR="00C47682">
        <w:rPr>
          <w:sz w:val="22"/>
        </w:rPr>
        <w:t>re covered by a single transmit filter, the resulting triplexer</w:t>
      </w:r>
      <w:r w:rsidR="00203E2F">
        <w:rPr>
          <w:sz w:val="22"/>
        </w:rPr>
        <w:t xml:space="preserve"> </w:t>
      </w:r>
      <w:r w:rsidR="00C47682">
        <w:rPr>
          <w:sz w:val="22"/>
        </w:rPr>
        <w:t>would still</w:t>
      </w:r>
      <w:r>
        <w:rPr>
          <w:sz w:val="22"/>
        </w:rPr>
        <w:t xml:space="preserve"> pose some serious design challenges since its relative BW is approximately 7.</w:t>
      </w:r>
      <w:r w:rsidR="00961895">
        <w:rPr>
          <w:sz w:val="22"/>
        </w:rPr>
        <w:t>6</w:t>
      </w:r>
      <w:r>
        <w:rPr>
          <w:sz w:val="22"/>
        </w:rPr>
        <w:t xml:space="preserve">%. </w:t>
      </w:r>
      <w:r w:rsidR="00C47682">
        <w:rPr>
          <w:sz w:val="22"/>
        </w:rPr>
        <w:t xml:space="preserve">Considering the short duplex distance intrinsic to these bands, sharp filter rejection in the respective </w:t>
      </w:r>
      <w:r w:rsidR="00203E2F">
        <w:rPr>
          <w:sz w:val="22"/>
        </w:rPr>
        <w:t>downlink</w:t>
      </w:r>
      <w:r w:rsidR="00C47682">
        <w:rPr>
          <w:sz w:val="22"/>
        </w:rPr>
        <w:t xml:space="preserve"> bands would inevitably lead to a </w:t>
      </w:r>
      <w:r w:rsidR="006A7175">
        <w:rPr>
          <w:sz w:val="22"/>
        </w:rPr>
        <w:t xml:space="preserve">high </w:t>
      </w:r>
      <w:r>
        <w:rPr>
          <w:sz w:val="22"/>
        </w:rPr>
        <w:t xml:space="preserve">transmitter insertion loss penalty. Assuming such triplexer can be implemented, then the DC_12_n71 transmitter perspective </w:t>
      </w:r>
      <w:r w:rsidR="00FF7D39">
        <w:rPr>
          <w:sz w:val="22"/>
        </w:rPr>
        <w:t>would be</w:t>
      </w:r>
      <w:r>
        <w:rPr>
          <w:sz w:val="22"/>
        </w:rPr>
        <w:t xml:space="preserve"> </w:t>
      </w:r>
      <w:proofErr w:type="gramStart"/>
      <w:r>
        <w:rPr>
          <w:sz w:val="22"/>
        </w:rPr>
        <w:t>similar to</w:t>
      </w:r>
      <w:proofErr w:type="gramEnd"/>
      <w:r>
        <w:rPr>
          <w:sz w:val="22"/>
        </w:rPr>
        <w:t xml:space="preserve"> intra-band contiguous</w:t>
      </w:r>
      <w:r w:rsidR="00022DD4">
        <w:rPr>
          <w:sz w:val="22"/>
        </w:rPr>
        <w:t xml:space="preserve"> and non-contiguous</w:t>
      </w:r>
      <w:r>
        <w:rPr>
          <w:sz w:val="22"/>
        </w:rPr>
        <w:t xml:space="preserve"> EN-DC </w:t>
      </w:r>
      <w:r>
        <w:rPr>
          <w:sz w:val="22"/>
        </w:rPr>
        <w:lastRenderedPageBreak/>
        <w:t>combination</w:t>
      </w:r>
      <w:r w:rsidR="00022DD4">
        <w:rPr>
          <w:sz w:val="22"/>
        </w:rPr>
        <w:t>s,</w:t>
      </w:r>
      <w:r>
        <w:rPr>
          <w:sz w:val="22"/>
        </w:rPr>
        <w:t xml:space="preserve"> for which </w:t>
      </w:r>
      <w:r w:rsidR="006A7175">
        <w:rPr>
          <w:sz w:val="22"/>
        </w:rPr>
        <w:t>very</w:t>
      </w:r>
      <w:r>
        <w:rPr>
          <w:sz w:val="22"/>
        </w:rPr>
        <w:t xml:space="preserve"> high </w:t>
      </w:r>
      <w:r w:rsidR="00203E2F">
        <w:rPr>
          <w:sz w:val="22"/>
        </w:rPr>
        <w:t>receiver desensitization</w:t>
      </w:r>
      <w:r>
        <w:rPr>
          <w:sz w:val="22"/>
        </w:rPr>
        <w:t xml:space="preserve"> of either receiv</w:t>
      </w:r>
      <w:r w:rsidR="00203E2F">
        <w:rPr>
          <w:sz w:val="22"/>
        </w:rPr>
        <w:t>ing</w:t>
      </w:r>
      <w:r>
        <w:rPr>
          <w:sz w:val="22"/>
        </w:rPr>
        <w:t xml:space="preserve"> band is expected if simultaneous dual uplink transmission is allowed.</w:t>
      </w:r>
      <w:r w:rsidR="00C47682">
        <w:rPr>
          <w:sz w:val="22"/>
        </w:rPr>
        <w:t xml:space="preserve"> </w:t>
      </w:r>
      <w:r w:rsidR="00022DD4">
        <w:rPr>
          <w:sz w:val="22"/>
        </w:rPr>
        <w:t>I</w:t>
      </w:r>
      <w:r w:rsidR="00B10641">
        <w:rPr>
          <w:sz w:val="22"/>
        </w:rPr>
        <w:t xml:space="preserve">n this respect, DC_12_n71 would suffer from the same IMD issues </w:t>
      </w:r>
      <w:r w:rsidR="00022DD4">
        <w:rPr>
          <w:sz w:val="22"/>
        </w:rPr>
        <w:t>previously studied for D</w:t>
      </w:r>
      <w:r w:rsidR="00B10641">
        <w:rPr>
          <w:sz w:val="22"/>
        </w:rPr>
        <w:t>C_(n)</w:t>
      </w:r>
      <w:r w:rsidR="00022DD4">
        <w:rPr>
          <w:sz w:val="22"/>
        </w:rPr>
        <w:t>71</w:t>
      </w:r>
      <w:r w:rsidR="00B10641">
        <w:rPr>
          <w:sz w:val="22"/>
        </w:rPr>
        <w:t>AA</w:t>
      </w:r>
      <w:r w:rsidR="00022DD4">
        <w:rPr>
          <w:sz w:val="22"/>
        </w:rPr>
        <w:t xml:space="preserve"> or</w:t>
      </w:r>
      <w:r w:rsidR="00B10641">
        <w:rPr>
          <w:sz w:val="22"/>
        </w:rPr>
        <w:t xml:space="preserve"> DC_(n)</w:t>
      </w:r>
      <w:r w:rsidR="00022DD4">
        <w:rPr>
          <w:sz w:val="22"/>
        </w:rPr>
        <w:t>12</w:t>
      </w:r>
      <w:r w:rsidR="00B10641">
        <w:rPr>
          <w:sz w:val="22"/>
        </w:rPr>
        <w:t>A</w:t>
      </w:r>
      <w:r w:rsidR="00022DD4">
        <w:rPr>
          <w:sz w:val="22"/>
        </w:rPr>
        <w:t>A [2]: IMD3 products may directly overlap either the UE own LTE or NR downlink carrier frequencies.</w:t>
      </w:r>
    </w:p>
    <w:p w:rsidR="00DE2C0B" w:rsidRDefault="00DE2C0B" w:rsidP="000B655A">
      <w:pPr>
        <w:contextualSpacing/>
        <w:jc w:val="both"/>
        <w:rPr>
          <w:sz w:val="22"/>
        </w:rPr>
      </w:pPr>
    </w:p>
    <w:p w:rsidR="00775F04" w:rsidRPr="00775F04" w:rsidRDefault="00775F04" w:rsidP="00775F04">
      <w:pPr>
        <w:contextualSpacing/>
        <w:jc w:val="both"/>
        <w:rPr>
          <w:sz w:val="22"/>
        </w:rPr>
      </w:pPr>
      <w:r>
        <w:rPr>
          <w:sz w:val="22"/>
        </w:rPr>
        <w:t xml:space="preserve">In summary, without SUO, it is expected that DC_12_n71 performance </w:t>
      </w:r>
      <w:r w:rsidR="00FF7D39">
        <w:rPr>
          <w:sz w:val="22"/>
        </w:rPr>
        <w:t xml:space="preserve">would </w:t>
      </w:r>
      <w:r>
        <w:rPr>
          <w:sz w:val="22"/>
        </w:rPr>
        <w:t>experience the same, or worse challenges than intra-band contiguous EN-DC operation, i.e., h</w:t>
      </w:r>
      <w:r w:rsidRPr="00775F04">
        <w:rPr>
          <w:sz w:val="22"/>
        </w:rPr>
        <w:t>i</w:t>
      </w:r>
      <w:r>
        <w:rPr>
          <w:sz w:val="22"/>
        </w:rPr>
        <w:t xml:space="preserve">gh receiver desensitization, and reduced maximum transmit power capability. In this respect, SUO </w:t>
      </w:r>
      <w:r w:rsidR="00022DD4">
        <w:rPr>
          <w:sz w:val="22"/>
        </w:rPr>
        <w:t>i</w:t>
      </w:r>
      <w:r>
        <w:rPr>
          <w:sz w:val="22"/>
        </w:rPr>
        <w:t xml:space="preserve">s </w:t>
      </w:r>
      <w:r w:rsidR="00022DD4">
        <w:rPr>
          <w:sz w:val="22"/>
        </w:rPr>
        <w:t>the best</w:t>
      </w:r>
      <w:r>
        <w:rPr>
          <w:sz w:val="22"/>
        </w:rPr>
        <w:t xml:space="preserve"> approach to ensure</w:t>
      </w:r>
      <w:r w:rsidR="00022DD4">
        <w:rPr>
          <w:sz w:val="22"/>
        </w:rPr>
        <w:t xml:space="preserve"> the</w:t>
      </w:r>
      <w:r>
        <w:rPr>
          <w:sz w:val="22"/>
        </w:rPr>
        <w:t xml:space="preserve"> UE benefit</w:t>
      </w:r>
      <w:r w:rsidR="00022DD4">
        <w:rPr>
          <w:sz w:val="22"/>
        </w:rPr>
        <w:t>s</w:t>
      </w:r>
      <w:r>
        <w:rPr>
          <w:sz w:val="22"/>
        </w:rPr>
        <w:t xml:space="preserve"> from maximum output power capability and low receiver MSD.</w:t>
      </w:r>
      <w:r w:rsidR="00880500">
        <w:rPr>
          <w:sz w:val="22"/>
        </w:rPr>
        <w:t xml:space="preserve"> </w:t>
      </w:r>
      <w:r w:rsidR="00DE2C0B">
        <w:rPr>
          <w:sz w:val="22"/>
        </w:rPr>
        <w:t xml:space="preserve">We therefore </w:t>
      </w:r>
      <w:r w:rsidR="00880500">
        <w:rPr>
          <w:sz w:val="22"/>
        </w:rPr>
        <w:t>propos</w:t>
      </w:r>
      <w:r w:rsidR="00FF7D39">
        <w:rPr>
          <w:sz w:val="22"/>
        </w:rPr>
        <w:t>e</w:t>
      </w:r>
      <w:r w:rsidR="00DE2C0B">
        <w:rPr>
          <w:sz w:val="22"/>
        </w:rPr>
        <w:t>:</w:t>
      </w:r>
    </w:p>
    <w:p w:rsidR="001D4065" w:rsidRPr="00775F04" w:rsidRDefault="001D4065" w:rsidP="000B655A">
      <w:pPr>
        <w:jc w:val="both"/>
        <w:rPr>
          <w:rFonts w:asciiTheme="minorHAnsi" w:hAnsiTheme="minorHAnsi" w:cstheme="minorHAnsi"/>
          <w:sz w:val="22"/>
          <w:szCs w:val="20"/>
        </w:rPr>
      </w:pPr>
    </w:p>
    <w:p w:rsidR="00F46470" w:rsidRDefault="00F46470" w:rsidP="00F46470">
      <w:pPr>
        <w:pStyle w:val="ListParagraph"/>
        <w:ind w:firstLineChars="0" w:firstLine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Proposal</w:t>
      </w:r>
      <w:r w:rsidRPr="00F46470">
        <w:rPr>
          <w:rFonts w:ascii="Times New Roman" w:hAnsi="Times New Roman" w:cs="Times New Roman"/>
          <w:b/>
          <w:sz w:val="22"/>
        </w:rPr>
        <w:t xml:space="preserve"> 1</w:t>
      </w:r>
      <w:r>
        <w:rPr>
          <w:rFonts w:ascii="Times New Roman" w:hAnsi="Times New Roman" w:cs="Times New Roman"/>
          <w:b/>
          <w:sz w:val="22"/>
        </w:rPr>
        <w:t>: For DC_12_n71, only single switched uplink operation is supported.</w:t>
      </w:r>
    </w:p>
    <w:p w:rsidR="00DE2C0B" w:rsidRDefault="00DE2C0B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</w:p>
    <w:p w:rsidR="002B0DC4" w:rsidRDefault="002B0DC4" w:rsidP="002B0DC4">
      <w:pPr>
        <w:pStyle w:val="Heading1"/>
      </w:pPr>
      <w:r>
        <w:t>Conclusion</w:t>
      </w:r>
    </w:p>
    <w:p w:rsidR="00321B6C" w:rsidRDefault="00DE2C0B" w:rsidP="00DE2C0B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The IMD landscape associated with simultaneous dual uplink transmissions for DC_12_n71 is very similar </w:t>
      </w:r>
      <w:r w:rsidR="00FF7D39">
        <w:rPr>
          <w:rFonts w:eastAsia="SimSun"/>
          <w:sz w:val="22"/>
          <w:lang w:eastAsia="zh-CN"/>
        </w:rPr>
        <w:t xml:space="preserve">to what was </w:t>
      </w:r>
      <w:r>
        <w:rPr>
          <w:rFonts w:eastAsia="SimSun"/>
          <w:sz w:val="22"/>
          <w:lang w:eastAsia="zh-CN"/>
        </w:rPr>
        <w:t xml:space="preserve">already studied for the case of intra-band contiguous </w:t>
      </w:r>
      <w:r w:rsidR="00022DD4">
        <w:rPr>
          <w:rFonts w:eastAsia="SimSun"/>
          <w:sz w:val="22"/>
          <w:lang w:eastAsia="zh-CN"/>
        </w:rPr>
        <w:t xml:space="preserve">and non-contiguous </w:t>
      </w:r>
      <w:r>
        <w:rPr>
          <w:rFonts w:eastAsia="SimSun"/>
          <w:sz w:val="22"/>
          <w:lang w:eastAsia="zh-CN"/>
        </w:rPr>
        <w:t>EN-DC operation. Mandating SUO only operation is the best approach to ensure the UE benefits from maximum output power and lowest receiver desensitization</w:t>
      </w:r>
      <w:r w:rsidR="00022DD4">
        <w:rPr>
          <w:rFonts w:eastAsia="SimSun"/>
          <w:sz w:val="22"/>
          <w:lang w:eastAsia="zh-CN"/>
        </w:rPr>
        <w:t>.</w:t>
      </w:r>
    </w:p>
    <w:p w:rsidR="00DE2C0B" w:rsidRDefault="00DE2C0B" w:rsidP="00DE2C0B">
      <w:pPr>
        <w:jc w:val="both"/>
        <w:rPr>
          <w:rFonts w:eastAsia="SimSun"/>
          <w:sz w:val="22"/>
          <w:lang w:eastAsia="zh-CN"/>
        </w:rPr>
      </w:pPr>
    </w:p>
    <w:p w:rsidR="00DE2C0B" w:rsidRDefault="00DE2C0B" w:rsidP="00DE2C0B">
      <w:pPr>
        <w:jc w:val="both"/>
        <w:rPr>
          <w:rFonts w:eastAsia="SimSun"/>
          <w:sz w:val="22"/>
          <w:lang w:eastAsia="zh-CN"/>
        </w:rPr>
      </w:pPr>
      <w:r>
        <w:rPr>
          <w:b/>
          <w:sz w:val="22"/>
        </w:rPr>
        <w:t>Proposal</w:t>
      </w:r>
      <w:r w:rsidRPr="00F46470">
        <w:rPr>
          <w:b/>
          <w:sz w:val="22"/>
        </w:rPr>
        <w:t xml:space="preserve"> 1</w:t>
      </w:r>
      <w:r>
        <w:rPr>
          <w:b/>
          <w:sz w:val="22"/>
        </w:rPr>
        <w:t>: For DC_12_n71, only single switched uplink operation is supported.</w:t>
      </w:r>
    </w:p>
    <w:p w:rsidR="002B0DC4" w:rsidRPr="002B0DC4" w:rsidRDefault="002B0DC4" w:rsidP="002B0DC4">
      <w:pPr>
        <w:pStyle w:val="Heading1"/>
      </w:pPr>
      <w:r>
        <w:t>References</w:t>
      </w:r>
    </w:p>
    <w:p w:rsidR="00B652A2" w:rsidRDefault="002F1914" w:rsidP="00B652A2">
      <w:pPr>
        <w:contextualSpacing/>
        <w:rPr>
          <w:rFonts w:ascii="Arial" w:hAnsi="Arial" w:cs="Arial"/>
          <w:lang w:eastAsia="ja-JP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4347D4">
        <w:rPr>
          <w:rFonts w:ascii="Arial" w:hAnsi="Arial" w:cs="Arial"/>
          <w:lang w:eastAsia="ja-JP"/>
        </w:rPr>
        <w:t>R4-200</w:t>
      </w:r>
      <w:r w:rsidR="00290F72">
        <w:rPr>
          <w:rFonts w:ascii="Arial" w:hAnsi="Arial" w:cs="Arial"/>
          <w:lang w:eastAsia="ja-JP"/>
        </w:rPr>
        <w:t>4627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290F72" w:rsidRPr="00290F72">
        <w:rPr>
          <w:rFonts w:ascii="Arial" w:hAnsi="Arial" w:cs="Arial"/>
          <w:lang w:eastAsia="ja-JP"/>
        </w:rPr>
        <w:t>TP for TR 37.716-11-11: DC_12_n71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290F72" w:rsidRPr="00290F72">
        <w:rPr>
          <w:rFonts w:ascii="Arial" w:hAnsi="Arial" w:cs="Arial"/>
          <w:lang w:eastAsia="ja-JP"/>
        </w:rPr>
        <w:t>Ericsson, US Cellular</w:t>
      </w:r>
      <w:r w:rsidR="00290F72">
        <w:rPr>
          <w:rFonts w:ascii="Arial" w:hAnsi="Arial" w:cs="Arial"/>
          <w:lang w:eastAsia="ja-JP"/>
        </w:rPr>
        <w:t xml:space="preserve">, </w:t>
      </w:r>
      <w:r w:rsidR="00290F72" w:rsidRPr="00290F72">
        <w:rPr>
          <w:rFonts w:ascii="Arial" w:hAnsi="Arial" w:cs="Arial"/>
          <w:lang w:eastAsia="ja-JP"/>
        </w:rPr>
        <w:t>3GPP TSG-RAN WG4 Meeting #94bis-e</w:t>
      </w:r>
      <w:r w:rsidR="00290F72">
        <w:rPr>
          <w:rFonts w:ascii="Arial" w:hAnsi="Arial" w:cs="Arial"/>
          <w:lang w:eastAsia="ja-JP"/>
        </w:rPr>
        <w:t>.</w:t>
      </w:r>
    </w:p>
    <w:p w:rsidR="007241C8" w:rsidRDefault="007241C8" w:rsidP="007241C8">
      <w:pPr>
        <w:contextualSpacing/>
        <w:rPr>
          <w:sz w:val="22"/>
        </w:rPr>
      </w:pPr>
    </w:p>
    <w:p w:rsidR="007241C8" w:rsidRDefault="007241C8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</w:t>
      </w:r>
      <w:r>
        <w:rPr>
          <w:sz w:val="22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Pr="007241C8">
        <w:rPr>
          <w:rFonts w:ascii="Arial" w:hAnsi="Arial" w:cs="Arial"/>
          <w:lang w:eastAsia="ja-JP"/>
        </w:rPr>
        <w:t>R4-20048</w:t>
      </w:r>
      <w:r w:rsidR="00290F72">
        <w:rPr>
          <w:rFonts w:ascii="Arial" w:hAnsi="Arial" w:cs="Arial"/>
          <w:lang w:eastAsia="ja-JP"/>
        </w:rPr>
        <w:t>91</w:t>
      </w:r>
      <w:r w:rsidRPr="00DC403E">
        <w:rPr>
          <w:rFonts w:ascii="Arial" w:hAnsi="Arial" w:cs="Arial"/>
          <w:lang w:eastAsia="ja-JP"/>
        </w:rPr>
        <w:t>,</w:t>
      </w:r>
      <w:r w:rsidR="00290F72">
        <w:rPr>
          <w:rFonts w:ascii="Arial" w:hAnsi="Arial" w:cs="Arial"/>
          <w:lang w:eastAsia="ja-JP"/>
        </w:rPr>
        <w:t xml:space="preserve"> </w:t>
      </w:r>
      <w:r w:rsidR="00290F72" w:rsidRPr="00290F72">
        <w:rPr>
          <w:rFonts w:ascii="Arial" w:hAnsi="Arial" w:cs="Arial"/>
          <w:lang w:eastAsia="ja-JP"/>
        </w:rPr>
        <w:t>TP for TR37.716-11-11: UE MSD requirements for DC_(n)12AA</w:t>
      </w:r>
      <w:r w:rsidR="00290F72">
        <w:rPr>
          <w:rFonts w:ascii="Arial" w:hAnsi="Arial" w:cs="Arial"/>
          <w:lang w:eastAsia="ja-JP"/>
        </w:rPr>
        <w:t xml:space="preserve">, </w:t>
      </w:r>
      <w:r w:rsidR="00290F72" w:rsidRPr="00290F72">
        <w:rPr>
          <w:rFonts w:ascii="Arial" w:hAnsi="Arial" w:cs="Arial"/>
          <w:lang w:eastAsia="ja-JP"/>
        </w:rPr>
        <w:t>MediaTek Inc</w:t>
      </w:r>
      <w:r w:rsidR="00290F72">
        <w:rPr>
          <w:rFonts w:ascii="Arial" w:hAnsi="Arial" w:cs="Arial"/>
          <w:lang w:eastAsia="ja-JP"/>
        </w:rPr>
        <w:t xml:space="preserve">, </w:t>
      </w:r>
      <w:r w:rsidR="00290F72" w:rsidRPr="00290F72">
        <w:rPr>
          <w:rFonts w:ascii="Arial" w:hAnsi="Arial" w:cs="Arial"/>
          <w:lang w:eastAsia="ja-JP"/>
        </w:rPr>
        <w:t>3GPP TSG-RAN WG4 Meeting #94-e-Bis</w:t>
      </w:r>
      <w:r w:rsidR="00290F72">
        <w:rPr>
          <w:rFonts w:ascii="Arial" w:hAnsi="Arial" w:cs="Arial"/>
          <w:lang w:eastAsia="ja-JP"/>
        </w:rPr>
        <w:t>.</w:t>
      </w:r>
    </w:p>
    <w:p w:rsidR="002F1914" w:rsidRPr="00125DBD" w:rsidRDefault="002F1914" w:rsidP="002F1914">
      <w:pPr>
        <w:jc w:val="both"/>
        <w:rPr>
          <w:rFonts w:eastAsia="SimSun"/>
          <w:lang w:eastAsia="zh-CN"/>
        </w:rPr>
      </w:pPr>
    </w:p>
    <w:sectPr w:rsidR="002F1914" w:rsidRPr="00125DBD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533" w:rsidRDefault="00932533">
      <w:r>
        <w:separator/>
      </w:r>
    </w:p>
  </w:endnote>
  <w:endnote w:type="continuationSeparator" w:id="0">
    <w:p w:rsidR="00932533" w:rsidRDefault="0093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533" w:rsidRDefault="00932533">
      <w:r>
        <w:separator/>
      </w:r>
    </w:p>
  </w:footnote>
  <w:footnote w:type="continuationSeparator" w:id="0">
    <w:p w:rsidR="00932533" w:rsidRDefault="0093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2948"/>
    <w:multiLevelType w:val="hybridMultilevel"/>
    <w:tmpl w:val="E31E7CD0"/>
    <w:lvl w:ilvl="0" w:tplc="65421D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83C0D"/>
    <w:multiLevelType w:val="hybridMultilevel"/>
    <w:tmpl w:val="E8081098"/>
    <w:lvl w:ilvl="0" w:tplc="65421D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1311E"/>
    <w:multiLevelType w:val="hybridMultilevel"/>
    <w:tmpl w:val="888A95D8"/>
    <w:lvl w:ilvl="0" w:tplc="65421DCC">
      <w:start w:val="5"/>
      <w:numFmt w:val="bullet"/>
      <w:lvlText w:val="-"/>
      <w:lvlJc w:val="left"/>
      <w:pPr>
        <w:ind w:left="8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1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9"/>
  </w:num>
  <w:num w:numId="4">
    <w:abstractNumId w:val="11"/>
  </w:num>
  <w:num w:numId="5">
    <w:abstractNumId w:val="26"/>
  </w:num>
  <w:num w:numId="6">
    <w:abstractNumId w:val="6"/>
  </w:num>
  <w:num w:numId="7">
    <w:abstractNumId w:val="2"/>
  </w:num>
  <w:num w:numId="8">
    <w:abstractNumId w:val="15"/>
  </w:num>
  <w:num w:numId="9">
    <w:abstractNumId w:val="8"/>
  </w:num>
  <w:num w:numId="10">
    <w:abstractNumId w:val="24"/>
  </w:num>
  <w:num w:numId="11">
    <w:abstractNumId w:val="27"/>
  </w:num>
  <w:num w:numId="12">
    <w:abstractNumId w:val="17"/>
  </w:num>
  <w:num w:numId="13">
    <w:abstractNumId w:val="28"/>
  </w:num>
  <w:num w:numId="14">
    <w:abstractNumId w:val="10"/>
  </w:num>
  <w:num w:numId="15">
    <w:abstractNumId w:val="23"/>
  </w:num>
  <w:num w:numId="16">
    <w:abstractNumId w:val="19"/>
  </w:num>
  <w:num w:numId="17">
    <w:abstractNumId w:val="7"/>
  </w:num>
  <w:num w:numId="18">
    <w:abstractNumId w:val="4"/>
  </w:num>
  <w:num w:numId="19">
    <w:abstractNumId w:val="22"/>
  </w:num>
  <w:num w:numId="20">
    <w:abstractNumId w:val="12"/>
  </w:num>
  <w:num w:numId="21">
    <w:abstractNumId w:val="18"/>
  </w:num>
  <w:num w:numId="22">
    <w:abstractNumId w:val="14"/>
  </w:num>
  <w:num w:numId="23">
    <w:abstractNumId w:val="13"/>
  </w:num>
  <w:num w:numId="24">
    <w:abstractNumId w:val="21"/>
  </w:num>
  <w:num w:numId="25">
    <w:abstractNumId w:val="16"/>
  </w:num>
  <w:num w:numId="26">
    <w:abstractNumId w:val="1"/>
  </w:num>
  <w:num w:numId="27">
    <w:abstractNumId w:val="20"/>
  </w:num>
  <w:num w:numId="28">
    <w:abstractNumId w:val="3"/>
  </w:num>
  <w:num w:numId="29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DD4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0CC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55A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0529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5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3E2F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0F72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2BE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1D89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175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5F04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86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500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126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373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0D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53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1895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3E82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1E5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641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5D07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768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682"/>
    <w:rsid w:val="00C477DC"/>
    <w:rsid w:val="00C50A11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DC3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73B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D46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C0B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03B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470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45A"/>
    <w:rsid w:val="00FE25A2"/>
    <w:rsid w:val="00FE3F17"/>
    <w:rsid w:val="00FE4A80"/>
    <w:rsid w:val="00FE5462"/>
    <w:rsid w:val="00FE6498"/>
    <w:rsid w:val="00FE6C70"/>
    <w:rsid w:val="00FE6F47"/>
    <w:rsid w:val="00FE72B2"/>
    <w:rsid w:val="00FE7BA4"/>
    <w:rsid w:val="00FF0A48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F9CED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EE0"/>
    <w:rPr>
      <w:rFonts w:eastAsia="Times New Roman"/>
      <w:sz w:val="24"/>
      <w:szCs w:val="24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Normal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Normal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Normal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Normal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2D995-0781-4E52-A976-BE049CC0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2</cp:revision>
  <cp:lastPrinted>2010-01-07T15:23:00Z</cp:lastPrinted>
  <dcterms:created xsi:type="dcterms:W3CDTF">2020-05-15T19:09:00Z</dcterms:created>
  <dcterms:modified xsi:type="dcterms:W3CDTF">2020-05-15T19:09:00Z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